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="240" w:lineRule="auto"/>
        <w:rPr>
          <w:rFonts w:ascii="Lato" w:cs="Lato" w:eastAsia="Lato" w:hAnsi="Lato"/>
          <w:i w:val="1"/>
        </w:rPr>
      </w:pPr>
      <w:r w:rsidDel="00000000" w:rsidR="00000000" w:rsidRPr="00000000">
        <w:rPr>
          <w:i w:val="1"/>
          <w:rtl w:val="0"/>
        </w:rPr>
        <w:t xml:space="preserve">Como parte de su compromiso con la mejora continua de la práctica quirúrgica,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Asociación Española de Cirugía (AEC) presenta su Guía de Cirugía Ambulatoria 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La guía ofrece una herramienta práctica basada en la mejor evidencia científica para apoyar al cirujano en la toma de decisiones clínicas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Incluye contenidos clave como gestión clínica, criterios de selección de pacientes, protocolos pre y postoperatorios, y capítulos específicos por especialidad quirúrgica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Más de 70 doctores han colaborado en la elaboración de esta obra, que marca un hito en la optimización de la Cirugía Mayor Ambulatoria en España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238125</wp:posOffset>
            </wp:positionV>
            <wp:extent cx="2523808" cy="3590067"/>
            <wp:effectExtent b="0" l="0" r="0" t="0"/>
            <wp:wrapSquare wrapText="bothSides" distB="114300" distT="114300" distL="114300" distR="114300"/>
            <wp:docPr id="12124764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3808" cy="3590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ind w:right="-87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Madrid, 10 de junio de 2025.-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La Sección de Cirugía Mayor Ambulatoria (CMA) de la </w:t>
      </w:r>
      <w:hyperlink r:id="rId8">
        <w:r w:rsidDel="00000000" w:rsidR="00000000" w:rsidRPr="00000000">
          <w:rPr>
            <w:b w:val="1"/>
            <w:color w:val="1155cc"/>
            <w:sz w:val="22"/>
            <w:szCs w:val="22"/>
            <w:u w:val="single"/>
            <w:rtl w:val="0"/>
          </w:rPr>
          <w:t xml:space="preserve">Asociación Española de Cirugía (AEC)</w:t>
        </w:r>
      </w:hyperlink>
      <w:r w:rsidDel="00000000" w:rsidR="00000000" w:rsidRPr="00000000">
        <w:rPr>
          <w:sz w:val="22"/>
          <w:szCs w:val="22"/>
          <w:rtl w:val="0"/>
        </w:rPr>
        <w:t xml:space="preserve">  ha publicado la primera Guía de CMA en Cirugía General, una obra que representa un avance significativo en la asistencia sanitaria en España.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Esta guía mejora la experiencia del paciente</w:t>
      </w:r>
      <w:r w:rsidDel="00000000" w:rsidR="00000000" w:rsidRPr="00000000">
        <w:rPr>
          <w:sz w:val="22"/>
          <w:szCs w:val="22"/>
          <w:rtl w:val="0"/>
        </w:rPr>
        <w:t xml:space="preserve"> y contribuye a la racionalización de recursos para ofrecer una atención quirúrgica más sostenible y eficiente. La Guía de Cirugía Mayor Ambulatoria (CMA) incluye una amplia variedad de temas fundamentales para el desarrollo y la gestión eficiente de la CMA. Entre ellos se encuentran la </w:t>
      </w:r>
      <w:r w:rsidDel="00000000" w:rsidR="00000000" w:rsidRPr="00000000">
        <w:rPr>
          <w:b w:val="1"/>
          <w:sz w:val="22"/>
          <w:szCs w:val="22"/>
          <w:rtl w:val="0"/>
        </w:rPr>
        <w:t xml:space="preserve">introducción histórica y situación actual de la CMA en España</w:t>
      </w:r>
      <w:r w:rsidDel="00000000" w:rsidR="00000000" w:rsidRPr="00000000">
        <w:rPr>
          <w:sz w:val="22"/>
          <w:szCs w:val="22"/>
          <w:rtl w:val="0"/>
        </w:rPr>
        <w:t xml:space="preserve">, la organización y creación de unidades específicas con sus normativas y protocolos, así como la gestión clínica y la cartera de servicios.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Además, aborda la relación con </w:t>
      </w:r>
      <w:r w:rsidDel="00000000" w:rsidR="00000000" w:rsidRPr="00000000">
        <w:rPr>
          <w:b w:val="1"/>
          <w:sz w:val="22"/>
          <w:szCs w:val="22"/>
          <w:rtl w:val="0"/>
        </w:rPr>
        <w:t xml:space="preserve">Atención Primaria</w:t>
      </w:r>
      <w:r w:rsidDel="00000000" w:rsidR="00000000" w:rsidRPr="00000000">
        <w:rPr>
          <w:sz w:val="22"/>
          <w:szCs w:val="22"/>
          <w:rtl w:val="0"/>
        </w:rPr>
        <w:t xml:space="preserve">, la gestión de calidad y el marco legal, junto con criterios rigurosos para la selección y preparación de pacientes, incluyendo aspectos como consentimiento informado y profilaxis.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guía también detalla la </w:t>
      </w:r>
      <w:r w:rsidDel="00000000" w:rsidR="00000000" w:rsidRPr="00000000">
        <w:rPr>
          <w:b w:val="1"/>
          <w:sz w:val="22"/>
          <w:szCs w:val="22"/>
          <w:rtl w:val="0"/>
        </w:rPr>
        <w:t xml:space="preserve">participación del anestesiólogo</w:t>
      </w:r>
      <w:r w:rsidDel="00000000" w:rsidR="00000000" w:rsidRPr="00000000">
        <w:rPr>
          <w:sz w:val="22"/>
          <w:szCs w:val="22"/>
          <w:rtl w:val="0"/>
        </w:rPr>
        <w:t xml:space="preserve"> y el </w:t>
      </w:r>
      <w:r w:rsidDel="00000000" w:rsidR="00000000" w:rsidRPr="00000000">
        <w:rPr>
          <w:b w:val="1"/>
          <w:sz w:val="22"/>
          <w:szCs w:val="22"/>
          <w:rtl w:val="0"/>
        </w:rPr>
        <w:t xml:space="preserve">personal de enfermería</w:t>
      </w:r>
      <w:r w:rsidDel="00000000" w:rsidR="00000000" w:rsidRPr="00000000">
        <w:rPr>
          <w:sz w:val="22"/>
          <w:szCs w:val="22"/>
          <w:rtl w:val="0"/>
        </w:rPr>
        <w:t xml:space="preserve">, los </w:t>
      </w:r>
      <w:r w:rsidDel="00000000" w:rsidR="00000000" w:rsidRPr="00000000">
        <w:rPr>
          <w:b w:val="1"/>
          <w:sz w:val="22"/>
          <w:szCs w:val="22"/>
          <w:rtl w:val="0"/>
        </w:rPr>
        <w:t xml:space="preserve">cuidados perioperatorios</w:t>
      </w:r>
      <w:r w:rsidDel="00000000" w:rsidR="00000000" w:rsidRPr="00000000">
        <w:rPr>
          <w:sz w:val="22"/>
          <w:szCs w:val="22"/>
          <w:rtl w:val="0"/>
        </w:rPr>
        <w:t xml:space="preserve">, el </w:t>
      </w:r>
      <w:r w:rsidDel="00000000" w:rsidR="00000000" w:rsidRPr="00000000">
        <w:rPr>
          <w:b w:val="1"/>
          <w:sz w:val="22"/>
          <w:szCs w:val="22"/>
          <w:rtl w:val="0"/>
        </w:rPr>
        <w:t xml:space="preserve">control postoperatorio</w:t>
      </w:r>
      <w:r w:rsidDel="00000000" w:rsidR="00000000" w:rsidRPr="00000000">
        <w:rPr>
          <w:sz w:val="22"/>
          <w:szCs w:val="22"/>
          <w:rtl w:val="0"/>
        </w:rPr>
        <w:t xml:space="preserve">, la </w:t>
      </w:r>
      <w:r w:rsidDel="00000000" w:rsidR="00000000" w:rsidRPr="00000000">
        <w:rPr>
          <w:b w:val="1"/>
          <w:sz w:val="22"/>
          <w:szCs w:val="22"/>
          <w:rtl w:val="0"/>
        </w:rPr>
        <w:t xml:space="preserve">seguridad </w:t>
      </w:r>
      <w:r w:rsidDel="00000000" w:rsidR="00000000" w:rsidRPr="00000000">
        <w:rPr>
          <w:sz w:val="22"/>
          <w:szCs w:val="22"/>
          <w:rtl w:val="0"/>
        </w:rPr>
        <w:t xml:space="preserve">y </w:t>
      </w:r>
      <w:r w:rsidDel="00000000" w:rsidR="00000000" w:rsidRPr="00000000">
        <w:rPr>
          <w:b w:val="1"/>
          <w:sz w:val="22"/>
          <w:szCs w:val="22"/>
          <w:rtl w:val="0"/>
        </w:rPr>
        <w:t xml:space="preserve">calidad </w:t>
      </w:r>
      <w:r w:rsidDel="00000000" w:rsidR="00000000" w:rsidRPr="00000000">
        <w:rPr>
          <w:sz w:val="22"/>
          <w:szCs w:val="22"/>
          <w:rtl w:val="0"/>
        </w:rPr>
        <w:t xml:space="preserve">en la práctica de la CMA.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Asimismo, presenta capítulos específicos sobre cirugía de diferentes especialidades (pared abdominal, mama, hepatobiliar, proctología, endocrina, esofagogástrica, urgencias, vascular y en enfermedad renal) y </w:t>
      </w:r>
      <w:r w:rsidDel="00000000" w:rsidR="00000000" w:rsidRPr="00000000">
        <w:rPr>
          <w:b w:val="1"/>
          <w:sz w:val="22"/>
          <w:szCs w:val="22"/>
          <w:rtl w:val="0"/>
        </w:rPr>
        <w:t xml:space="preserve">temas actuales en formación, investigación y avances tecnológicos.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Esta publicación constituye una herramienta esencial para respaldar la toma de decisiones clínicas y mejorar la eficiencia de los procesos asistenciales en el ámbito de la Cirugía Mayor Ambulatoria (CMA).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Desarrollada por especialistas en CMA, la guía ofrece una visión integral de la práctica quirúrgica actual, abordando desde la gestión de pacientes y profesionales hasta la organización estructural de los centros. Su propósito es claro: mejorar los resultados clínicos y optimizar el uso de los recursos disponibles en este modelo quirúrgico.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 lo largo de sus páginas, se revisan los antecedentes históricos de la CMA, sus fundamentos organizativos, los criterios de selección de pacientes y las intervenciones quirúrgicas más frecuentes. Asimismo, se proponen estrategias para una adecuada planificación pre y postoperatoria, facilitando una recuperación segura y el alta hospitalaria el mismo día de la intervención.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También se analizan los retos futuros y las posibles líneas de evolución de la CMA, ofreciendo una perspectiva actualizada y útil tanto para los profesionales como para los centros implicados.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 documento ha sido coordinado por los doctores </w:t>
      </w:r>
      <w:r w:rsidDel="00000000" w:rsidR="00000000" w:rsidRPr="00000000">
        <w:rPr>
          <w:b w:val="1"/>
          <w:sz w:val="22"/>
          <w:szCs w:val="22"/>
          <w:rtl w:val="0"/>
        </w:rPr>
        <w:t xml:space="preserve">JM Suárez Grau, D Morales García, JM Capitán Vallvey y F Docobo Durantez</w:t>
      </w:r>
      <w:r w:rsidDel="00000000" w:rsidR="00000000" w:rsidRPr="00000000">
        <w:rPr>
          <w:sz w:val="22"/>
          <w:szCs w:val="22"/>
          <w:rtl w:val="0"/>
        </w:rPr>
        <w:t xml:space="preserve">, y ha contado con la </w:t>
      </w:r>
      <w:r w:rsidDel="00000000" w:rsidR="00000000" w:rsidRPr="00000000">
        <w:rPr>
          <w:b w:val="1"/>
          <w:sz w:val="22"/>
          <w:szCs w:val="22"/>
          <w:rtl w:val="0"/>
        </w:rPr>
        <w:t xml:space="preserve">participación de más de 70 autores doctores</w:t>
      </w:r>
      <w:r w:rsidDel="00000000" w:rsidR="00000000" w:rsidRPr="00000000">
        <w:rPr>
          <w:sz w:val="22"/>
          <w:szCs w:val="22"/>
          <w:rtl w:val="0"/>
        </w:rPr>
        <w:t xml:space="preserve">, todos ellos expertos en este ámbito.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360" w:lineRule="auto"/>
        <w:rPr>
          <w:rFonts w:ascii="Lato" w:cs="Lato" w:eastAsia="Lato" w:hAnsi="Lato"/>
          <w:b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18"/>
          <w:szCs w:val="18"/>
          <w:u w:val="single"/>
          <w:rtl w:val="0"/>
        </w:rPr>
        <w:t xml:space="preserve">Sobre la Asociación Española de Cirugía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8647"/>
        </w:tabs>
        <w:spacing w:after="200" w:line="360" w:lineRule="auto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8647"/>
        </w:tabs>
        <w:spacing w:after="200" w:line="360" w:lineRule="auto"/>
        <w:rPr/>
        <w:sectPr>
          <w:headerReference r:id="rId9" w:type="default"/>
          <w:headerReference r:id="rId10" w:type="first"/>
          <w:headerReference r:id="rId11" w:type="even"/>
          <w:footerReference r:id="rId12" w:type="default"/>
          <w:footerReference r:id="rId13" w:type="first"/>
          <w:footerReference r:id="rId14" w:type="even"/>
          <w:pgSz w:h="16838" w:w="11906" w:orient="portrait"/>
          <w:pgMar w:bottom="1700" w:top="1700" w:left="1598" w:right="1598" w:header="720" w:footer="720"/>
          <w:pgNumType w:start="1"/>
        </w:sectPr>
      </w:pPr>
      <w:hyperlink r:id="rId15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240" w:line="240" w:lineRule="auto"/>
        <w:ind w:left="-141" w:firstLine="0"/>
        <w:rPr>
          <w:b w:val="1"/>
          <w:sz w:val="18"/>
          <w:szCs w:val="18"/>
          <w:u w:val="single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1A">
      <w:pPr>
        <w:ind w:left="-141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Actitud de Comunicación</w:t>
      </w:r>
    </w:p>
    <w:p w:rsidR="00000000" w:rsidDel="00000000" w:rsidP="00000000" w:rsidRDefault="00000000" w:rsidRPr="00000000" w14:paraId="0000001B">
      <w:pPr>
        <w:ind w:left="-141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1C">
      <w:pPr>
        <w:ind w:left="-141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1D">
      <w:pPr>
        <w:ind w:left="-141" w:firstLine="0"/>
        <w:rPr/>
      </w:pPr>
      <w:r w:rsidDel="00000000" w:rsidR="00000000" w:rsidRPr="00000000">
        <w:rPr>
          <w:sz w:val="18"/>
          <w:szCs w:val="18"/>
          <w:rtl w:val="0"/>
        </w:rPr>
        <w:t xml:space="preserve">Email: </w:t>
      </w:r>
      <w:hyperlink r:id="rId1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carlota.ramos@actitud.es</w:t>
        </w:r>
      </w:hyperlink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568" w:top="1702" w:left="1701" w:right="1268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4267200</wp:posOffset>
          </wp:positionH>
          <wp:positionV relativeFrom="paragraph">
            <wp:posOffset>-66674</wp:posOffset>
          </wp:positionV>
          <wp:extent cx="1635699" cy="585788"/>
          <wp:effectExtent b="0" l="0" r="0" t="0"/>
          <wp:wrapNone/>
          <wp:docPr id="12124764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2931" l="0" r="0" t="31379"/>
                  <a:stretch>
                    <a:fillRect/>
                  </a:stretch>
                </pic:blipFill>
                <pic:spPr>
                  <a:xfrm>
                    <a:off x="0" y="0"/>
                    <a:ext cx="1635699" cy="5857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 w:val="1"/>
    <w:rsid w:val="00745489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45489"/>
  </w:style>
  <w:style w:type="paragraph" w:styleId="Piedepgina">
    <w:name w:val="footer"/>
    <w:basedOn w:val="Normal"/>
    <w:link w:val="PiedepginaCar"/>
    <w:uiPriority w:val="99"/>
    <w:unhideWhenUsed w:val="1"/>
    <w:rsid w:val="00745489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45489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hyperlink" Target="http://www.aecirujanos.es" TargetMode="External"/><Relationship Id="rId14" Type="http://schemas.openxmlformats.org/officeDocument/2006/relationships/footer" Target="footer3.xml"/><Relationship Id="rId16" Type="http://schemas.openxmlformats.org/officeDocument/2006/relationships/hyperlink" Target="mailto:carlota.ramos@actitud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viyq6PAC/XvblnRn0sRafeNMQ==">CgMxLjA4AGonChRzdWdnZXN0LmxyZ3dsaXI0eTdzeBIPTWFsw7ogQXJhZ29uw6lzciExQ2FNYjhmMmRKYUZlN1l3Wk04czdXZXdsMkx5cDczYnY=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2025-04-02T07:25:00Z</dcterms:created>
  <dc:creator>Usuario</dc:creator>
</cp:coreProperties>
</file>